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湖南省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建设人力资源协会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专业技术人员继续教育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精品课程评选标准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63" w:afterLines="20" w:line="300" w:lineRule="exact"/>
        <w:ind w:right="-313" w:rightChars="-149"/>
        <w:jc w:val="left"/>
        <w:textAlignment w:val="auto"/>
        <w:rPr>
          <w:rFonts w:hint="default" w:ascii="Times New Roman" w:hAnsi="Times New Roman" w:cs="Times New Roman"/>
          <w:sz w:val="21"/>
          <w:szCs w:val="21"/>
          <w:u w:val="single"/>
        </w:rPr>
      </w:pPr>
      <w:r>
        <w:rPr>
          <w:rFonts w:hint="default" w:ascii="Times New Roman" w:hAnsi="Times New Roman" w:cs="Times New Roman"/>
          <w:sz w:val="21"/>
          <w:szCs w:val="21"/>
        </w:rPr>
        <w:t>课程名称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 xml:space="preserve">             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1"/>
          <w:szCs w:val="21"/>
        </w:rPr>
        <w:t xml:space="preserve">   课程负责人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1"/>
          <w:szCs w:val="21"/>
        </w:rPr>
        <w:t xml:space="preserve">   评选时间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1"/>
          <w:szCs w:val="21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 xml:space="preserve"> </w:t>
      </w:r>
    </w:p>
    <w:tbl>
      <w:tblPr>
        <w:tblStyle w:val="3"/>
        <w:tblW w:w="9000" w:type="dxa"/>
        <w:tblInd w:w="-2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49"/>
        <w:gridCol w:w="949"/>
        <w:gridCol w:w="3266"/>
        <w:gridCol w:w="539"/>
        <w:gridCol w:w="550"/>
        <w:gridCol w:w="533"/>
        <w:gridCol w:w="533"/>
        <w:gridCol w:w="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tblHeader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一级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指标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指标</w:t>
            </w:r>
          </w:p>
        </w:tc>
        <w:tc>
          <w:tcPr>
            <w:tcW w:w="9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主要观测点</w:t>
            </w:r>
          </w:p>
        </w:tc>
        <w:tc>
          <w:tcPr>
            <w:tcW w:w="32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评选标准</w:t>
            </w:r>
          </w:p>
        </w:tc>
        <w:tc>
          <w:tcPr>
            <w:tcW w:w="5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分值</w:t>
            </w:r>
          </w:p>
        </w:tc>
        <w:tc>
          <w:tcPr>
            <w:tcW w:w="2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评价等级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9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9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3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5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A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B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C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tblHeader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9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9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3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5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1.0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0.8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0.6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设置（10）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定位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作用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课程体系满足专业技术人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才继续教育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需求；本课程对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eastAsia="zh-CN"/>
              </w:rPr>
              <w:t>专业技术、技能人才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知识、技术更新，职业素质提升有明显的促进作用</w:t>
            </w:r>
            <w:r>
              <w:rPr>
                <w:rFonts w:hint="default" w:ascii="Times New Roman" w:hAnsi="Times New Roman" w:cs="Times New Roman"/>
                <w:szCs w:val="21"/>
              </w:rPr>
              <w:t>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设计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理念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思路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以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专业技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eastAsia="zh-CN"/>
              </w:rPr>
              <w:t>术人才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素质提升，知识、技术更新为重点；紧</w:t>
            </w:r>
            <w:r>
              <w:rPr>
                <w:rFonts w:hint="default" w:ascii="Times New Roman" w:hAnsi="Times New Roman" w:cs="Times New Roman"/>
                <w:szCs w:val="21"/>
              </w:rPr>
              <w:t>跟行业科技发展；充分体现先进性、科学性、实用性。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内容（25）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选择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针对性适用性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行业发展中涌现的新政策、新法规、新技术、新标准、新工艺。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组织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安排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符合人们学习知识、认知事务的基本规律；内容组织逻辑关系正确、条理清楚、层次分明；突出知识、技术的实际运用。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实际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资料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精选生产一线先进、实用的知识、技术、技能案例用于教学，突出知识、技术、技能与岗位工作能力的联系。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方法（10）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设计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设计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创新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  <w:lang w:val="en-US" w:eastAsia="zh-CN"/>
              </w:rPr>
              <w:t>开发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团队积极开展教学研究，探讨符合继续</w:t>
            </w:r>
            <w:r>
              <w:rPr>
                <w:rFonts w:hint="default" w:ascii="Times New Roman" w:hAnsi="Times New Roman" w:cs="Times New Roman"/>
                <w:szCs w:val="21"/>
              </w:rPr>
              <w:t>教育教学规律的创新性教学模式，如任务驱动、项目导向等教学模式。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方法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运用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运用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以学员为中心，引导学员积极思考、乐于学习；根据课程特点，灵活运用工程实际案例分析等教学方法，提高教学效率和质量。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团队（15）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课程负责人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素质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水平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职业道德良好，治学严谨，在行业有一定的影响力；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有副高</w:t>
            </w:r>
            <w:r>
              <w:rPr>
                <w:rFonts w:hint="default" w:ascii="Times New Roman" w:hAnsi="Times New Roman" w:cs="Times New Roman"/>
                <w:szCs w:val="21"/>
              </w:rPr>
              <w:t>及以上专业技术职称；有丰富的工程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实践</w:t>
            </w:r>
            <w:r>
              <w:rPr>
                <w:rFonts w:hint="default" w:ascii="Times New Roman" w:hAnsi="Times New Roman" w:cs="Times New Roman"/>
                <w:szCs w:val="21"/>
              </w:rPr>
              <w:t>经验，参与教改或技改项目，成效显著。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成员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素质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结构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职业道德良好，爱岗敬业；有一定的专业技术能力和水平，有一定的教学或工程实践经验；团队成员在3人及以上，由教师和企业技术人员构成，年龄、专业、学历、职称等结构合理。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资源（15）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课件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内容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版面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内容正确、完整，构架合理；版面清晰、美观，色彩满足学员视觉要求。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视频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讲课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效果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讲师仪态端庄大方；用普通话讲课，教学语言清晰、精炼；内容表述正确、完整，条理清楚、层次分明、逻辑性强。视频清晰、构架合理、画面美观。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效果（25）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专家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评价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pacing w:val="-20"/>
                <w:w w:val="100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default" w:ascii="Times New Roman" w:hAnsi="Times New Roman" w:cs="Times New Roman"/>
                <w:spacing w:val="-20"/>
                <w:w w:val="100"/>
                <w:sz w:val="21"/>
                <w:szCs w:val="21"/>
              </w:rPr>
              <w:t>规划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提交的成果验收材料真实可信；课件、视频质量优良；有良好的社会声誉。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学员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评价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点击率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留言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课程投放平台运行后，通过学员点击、学习、留言统计数据。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0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特色、创新（加分项）</w:t>
            </w:r>
          </w:p>
        </w:tc>
        <w:tc>
          <w:tcPr>
            <w:tcW w:w="3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评选专家通过查看规划书中特色、创新描述，结合课件、视频打分。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bidi w:val="0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2021-11-25T06:59:42Z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FFABBC995F164E7092C5568A38B49BE4</vt:lpwstr>
  </property>
</Properties>
</file>