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jc w:val="center"/>
        <w:rPr>
          <w:rFonts w:hint="eastAsia" w:eastAsia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操作技能培训及考评细则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 操作技能培训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企业根据湖南省建筑工人《XX工职业培训大纲》，结合项目现场实际制定《操作技能培训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实施方案》（包括培训内容、培训时间、培训项目、培训负责人员以及考评的时间及内容）。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班组长（师傅）根据《操作技能培训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实施方案》通过“师傅带徒弟”的方式对参培人员进行操作技能培训，并将技能培训过程如实记录在《个人操作技能培训记录表》。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培训机构负责将《湖南省建筑工人职业培训报名表》、《个人操作技能培训记录表》上传至建筑工人职业培训系统。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二、操作技能考评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。参培人员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按培训计划完成技能培训后，培训机构指导参培企业按照操作技能考评实施方案确定考评细则、考评时间、考评小组等具体事项。考评小组由企业指定的班组长（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1-2名）与考评员库抽取的考评员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1-2名）组成。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企业对考评现场安全负责，企业班组长对被考评人员进行考评前安全教育。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企业对考评现场生产秩序负责，企业班组长就考评任务进行技术交底、安全操作交底及按规范规程进行的相关工种的技能操作。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企业班组长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对《湖南省建筑工人操作技能评价表》中的安全生产、文明施工、工匠精神、以及操作技能评价项目中的工艺流程、工作效率和工具设备的使用与维护进行过程考评，并做好相关记录。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考评员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与班组长共同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对被考评人员的操作技能培训质量（工作成果）进行结果考评，并按评分细则打分。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）考评小组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对被考评人员进行综合评议，填写《湖南省建筑工人操作技能评价表》，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企业和培训机构对考评结果负责，并在《湖南省建筑工人操作技能评价表》盖章。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培训机构将《湖南省建筑工人操作技能评价表》上传至建筑工人职业培训系统。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三、考评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小组成员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ascii="仿宋" w:hAnsi="仿宋" w:eastAsia="仿宋"/>
          <w:color w:val="auto"/>
          <w:sz w:val="32"/>
          <w:szCs w:val="32"/>
        </w:rPr>
        <w:t>在实施</w:t>
      </w:r>
      <w:r>
        <w:rPr>
          <w:rFonts w:hint="eastAsia" w:ascii="仿宋" w:hAnsi="仿宋" w:eastAsia="仿宋"/>
          <w:color w:val="auto"/>
          <w:sz w:val="32"/>
          <w:szCs w:val="32"/>
        </w:rPr>
        <w:t>操作技能考评前</w:t>
      </w:r>
      <w:r>
        <w:rPr>
          <w:rFonts w:ascii="仿宋" w:hAnsi="仿宋" w:eastAsia="仿宋"/>
          <w:color w:val="auto"/>
          <w:sz w:val="32"/>
          <w:szCs w:val="32"/>
        </w:rPr>
        <w:t>，了解</w:t>
      </w:r>
      <w:r>
        <w:rPr>
          <w:rFonts w:hint="eastAsia" w:ascii="仿宋" w:hAnsi="仿宋" w:eastAsia="仿宋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《操作技能培训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实施方案》</w:t>
      </w:r>
      <w:r>
        <w:rPr>
          <w:rFonts w:ascii="仿宋" w:hAnsi="仿宋" w:eastAsia="仿宋"/>
          <w:color w:val="auto"/>
          <w:sz w:val="32"/>
          <w:szCs w:val="32"/>
        </w:rPr>
        <w:t>，熟悉</w:t>
      </w:r>
      <w:r>
        <w:rPr>
          <w:rFonts w:hint="eastAsia" w:ascii="仿宋" w:hAnsi="仿宋" w:eastAsia="仿宋"/>
          <w:color w:val="auto"/>
          <w:sz w:val="32"/>
          <w:szCs w:val="32"/>
        </w:rPr>
        <w:t>其</w:t>
      </w:r>
      <w:r>
        <w:rPr>
          <w:rFonts w:ascii="仿宋" w:hAnsi="仿宋" w:eastAsia="仿宋"/>
          <w:color w:val="auto"/>
          <w:sz w:val="32"/>
          <w:szCs w:val="32"/>
        </w:rPr>
        <w:t>职业（工种）的职业标准、</w:t>
      </w:r>
      <w:r>
        <w:rPr>
          <w:rFonts w:hint="eastAsia" w:ascii="仿宋" w:hAnsi="仿宋" w:eastAsia="仿宋"/>
          <w:color w:val="auto"/>
          <w:sz w:val="32"/>
          <w:szCs w:val="32"/>
        </w:rPr>
        <w:t>培训大纲、</w:t>
      </w:r>
      <w:r>
        <w:rPr>
          <w:rFonts w:ascii="仿宋" w:hAnsi="仿宋" w:eastAsia="仿宋"/>
          <w:color w:val="auto"/>
          <w:sz w:val="32"/>
          <w:szCs w:val="32"/>
        </w:rPr>
        <w:t>规范</w:t>
      </w:r>
      <w:r>
        <w:rPr>
          <w:rFonts w:hint="eastAsia" w:ascii="仿宋" w:hAnsi="仿宋" w:eastAsia="仿宋"/>
          <w:color w:val="auto"/>
          <w:sz w:val="32"/>
          <w:szCs w:val="32"/>
        </w:rPr>
        <w:t>其</w:t>
      </w:r>
      <w:r>
        <w:rPr>
          <w:rFonts w:ascii="仿宋" w:hAnsi="仿宋" w:eastAsia="仿宋"/>
          <w:color w:val="auto"/>
          <w:sz w:val="32"/>
          <w:szCs w:val="32"/>
        </w:rPr>
        <w:t>考评的项目、内容、要求及评分标准等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考评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小组成</w:t>
      </w:r>
      <w:r>
        <w:rPr>
          <w:rFonts w:ascii="仿宋" w:hAnsi="仿宋" w:eastAsia="仿宋"/>
          <w:color w:val="auto"/>
          <w:sz w:val="32"/>
          <w:szCs w:val="32"/>
        </w:rPr>
        <w:t>员在考评时必须佩戴</w:t>
      </w:r>
      <w:r>
        <w:rPr>
          <w:rFonts w:hint="eastAsia" w:ascii="仿宋" w:hAnsi="仿宋" w:eastAsia="仿宋"/>
          <w:color w:val="auto"/>
          <w:sz w:val="32"/>
          <w:szCs w:val="32"/>
        </w:rPr>
        <w:t>工作牌</w:t>
      </w:r>
      <w:r>
        <w:rPr>
          <w:rFonts w:ascii="仿宋" w:hAnsi="仿宋" w:eastAsia="仿宋"/>
          <w:color w:val="auto"/>
          <w:sz w:val="32"/>
          <w:szCs w:val="32"/>
        </w:rPr>
        <w:t>，严格执行工作守则和考场规则，坚守工作岗位，认真履行职责。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严格按照规定的考</w:t>
      </w:r>
      <w:r>
        <w:rPr>
          <w:rFonts w:hint="eastAsia" w:ascii="仿宋" w:hAnsi="仿宋" w:eastAsia="仿宋"/>
          <w:color w:val="auto"/>
          <w:sz w:val="32"/>
          <w:szCs w:val="32"/>
        </w:rPr>
        <w:t>评</w:t>
      </w:r>
      <w:r>
        <w:rPr>
          <w:rFonts w:ascii="仿宋" w:hAnsi="仿宋" w:eastAsia="仿宋"/>
          <w:color w:val="auto"/>
          <w:sz w:val="32"/>
          <w:szCs w:val="32"/>
        </w:rPr>
        <w:t>方式、方法、程序、评分标准，完成评分任务，</w:t>
      </w:r>
      <w:r>
        <w:rPr>
          <w:rFonts w:hint="eastAsia" w:ascii="仿宋" w:hAnsi="仿宋" w:eastAsia="仿宋"/>
          <w:color w:val="auto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《湖南省建筑工人操作技能评价表》</w:t>
      </w:r>
      <w:r>
        <w:rPr>
          <w:rFonts w:ascii="仿宋" w:hAnsi="仿宋" w:eastAsia="仿宋"/>
          <w:color w:val="auto"/>
          <w:sz w:val="32"/>
          <w:szCs w:val="32"/>
        </w:rPr>
        <w:t>并签名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考评时，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考评小组成员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除制止可能引起质量或安全事故的行为外，不得指导操作方法。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考评小组成员</w:t>
      </w:r>
      <w:r>
        <w:rPr>
          <w:rFonts w:ascii="仿宋" w:hAnsi="仿宋" w:eastAsia="仿宋"/>
          <w:color w:val="auto"/>
          <w:sz w:val="32"/>
          <w:szCs w:val="32"/>
        </w:rPr>
        <w:t>对考评现场发生的违纪行为，视情节轻重可给予劝告、警告、终止</w:t>
      </w:r>
      <w:r>
        <w:rPr>
          <w:rFonts w:hint="eastAsia" w:ascii="仿宋" w:hAnsi="仿宋" w:eastAsia="仿宋"/>
          <w:color w:val="auto"/>
          <w:sz w:val="32"/>
          <w:szCs w:val="32"/>
        </w:rPr>
        <w:t>考评</w:t>
      </w:r>
      <w:r>
        <w:rPr>
          <w:rFonts w:ascii="仿宋" w:hAnsi="仿宋" w:eastAsia="仿宋"/>
          <w:color w:val="auto"/>
          <w:sz w:val="32"/>
          <w:szCs w:val="32"/>
        </w:rPr>
        <w:t>或宣布成绩无效等处理，并应及时书面报告</w:t>
      </w:r>
      <w:r>
        <w:rPr>
          <w:rFonts w:hint="eastAsia" w:ascii="仿宋" w:hAnsi="仿宋" w:eastAsia="仿宋"/>
          <w:color w:val="auto"/>
          <w:sz w:val="32"/>
          <w:szCs w:val="32"/>
        </w:rPr>
        <w:t>培训机构</w:t>
      </w:r>
      <w:r>
        <w:rPr>
          <w:rFonts w:ascii="仿宋" w:hAnsi="仿宋" w:eastAsia="仿宋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、考评全过程不得违反国家安全生产规范和规程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考评小组成员</w:t>
      </w:r>
      <w:r>
        <w:rPr>
          <w:rFonts w:hint="eastAsia" w:ascii="仿宋" w:hAnsi="仿宋" w:eastAsia="仿宋"/>
          <w:color w:val="auto"/>
          <w:sz w:val="32"/>
          <w:szCs w:val="32"/>
        </w:rPr>
        <w:t>应忠于职守、公正廉洁、精益求精、科学规范、严把考评质量关。</w:t>
      </w: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宋体" w:hAnsi="宋体" w:cs="宋体"/>
          <w:bCs/>
          <w:color w:val="auto"/>
          <w:sz w:val="36"/>
          <w:szCs w:val="36"/>
        </w:rPr>
      </w:pPr>
    </w:p>
    <w:p>
      <w:pPr>
        <w:shd w:val="clear" w:color="auto" w:fill="FFFFFF"/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hd w:val="clear" w:color="auto" w:fill="FFFFFF"/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hd w:val="clear" w:color="auto" w:fill="FFFFFF"/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201E7"/>
    <w:rsid w:val="525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2021-10-09T07:14:57Z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D1A5F2A2FBD54DC7A0B28677218659B9</vt:lpwstr>
  </property>
</Properties>
</file>